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937AAF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4445000</wp:posOffset>
            </wp:positionH>
            <wp:positionV relativeFrom="paragraph">
              <wp:posOffset>-825500</wp:posOffset>
            </wp:positionV>
            <wp:extent cx="773430" cy="1082675"/>
            <wp:effectExtent l="0" t="0" r="7620" b="3175"/>
            <wp:wrapTight wrapText="bothSides">
              <wp:wrapPolygon>
                <wp:start x="0" y="0"/>
                <wp:lineTo x="0" y="21283"/>
                <wp:lineTo x="21281" y="21283"/>
                <wp:lineTo x="21281" y="0"/>
                <wp:lineTo x="0" y="0"/>
              </wp:wrapPolygon>
            </wp:wrapTight>
            <wp:docPr id="1" name="图片 1" descr="e02126fdda9a114d33e52fbaaf118b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2126fdda9a114d33e52fbaaf118b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343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-810895</wp:posOffset>
                </wp:positionH>
                <wp:positionV relativeFrom="paragraph">
                  <wp:posOffset>5715</wp:posOffset>
                </wp:positionV>
                <wp:extent cx="6950710" cy="9719310"/>
                <wp:effectExtent l="0" t="0" r="0" b="0"/>
                <wp:wrapSquare wrapText="bothSides"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0710" cy="971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8B7FC7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baseline"/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教育背景</w:t>
                            </w:r>
                          </w:p>
                          <w:p w14:paraId="37109739">
                            <w:pPr>
                              <w:spacing w:before="48" w:line="20" w:lineRule="exac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0" distR="0">
                                  <wp:extent cx="6667500" cy="12700"/>
                                  <wp:effectExtent l="0" t="0" r="0" b="0"/>
                                  <wp:docPr id="2" name="IM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 6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750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 </w:t>
                            </w:r>
                          </w:p>
                          <w:p w14:paraId="4F450DAB"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exact"/>
                              <w:ind w:leftChars="0" w:right="0" w:rightChars="0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2025.09-2027.06                   江西财经大学                            应用统计                       硕士</w:t>
                            </w:r>
                          </w:p>
                          <w:p w14:paraId="7A2F38D9"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exact"/>
                              <w:ind w:leftChars="0" w:right="0" w:rightChars="0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2020.09-2024.06                   江西财经大学                         国际经济与贸易                    本科</w:t>
                            </w:r>
                          </w:p>
                          <w:p w14:paraId="126AD9E6"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exact"/>
                              <w:ind w:left="420" w:leftChars="0" w:right="0" w:rightChars="0" w:hanging="420" w:firstLineChars="0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学业成绩与个人荣誉：GPA：4.7/5.0（专业前5%）；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国家奖学金（专业前1%）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、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“上饶银行奖学金”（专业前5%）</w:t>
                            </w:r>
                          </w:p>
                          <w:p w14:paraId="0CC9B26C">
                            <w:pPr>
                              <w:pStyle w:val="9"/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line="240" w:lineRule="exact"/>
                              <w:ind w:left="420" w:leftChars="0" w:right="0" w:rightChars="0" w:hanging="420" w:firstLineChars="0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主修课程：SQL实践与应用（99）、机器学习（97）、Python（93）、AI多智能体开发与实践（96）、统计学（97）等。</w:t>
                            </w:r>
                          </w:p>
                          <w:p w14:paraId="023DD23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wordWrap/>
                              <w:overflowPunct/>
                              <w:topLinePunct w:val="0"/>
                              <w:bidi w:val="0"/>
                              <w:spacing w:line="240" w:lineRule="exact"/>
                              <w:ind w:left="420" w:leftChars="0" w:hanging="420" w:firstLineChars="0"/>
                              <w:jc w:val="lef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代表荣誉：2026年全国大学生统计建模大赛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全国一等奖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、2026年研究生应用统计案例分析大赛华东赛区一等奖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/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、正大杯全国三等奖、数智化决策大赛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全国一等奖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（9/570）。江西财经大学优秀毕业生、优秀团干、优秀学生、院级品德之星</w:t>
                            </w:r>
                          </w:p>
                          <w:p w14:paraId="5202D70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2"/>
                              </w:numPr>
                              <w:suppressLineNumbers w:val="0"/>
                              <w:wordWrap/>
                              <w:overflowPunct/>
                              <w:topLinePunct w:val="0"/>
                              <w:bidi w:val="0"/>
                              <w:spacing w:line="240" w:lineRule="exact"/>
                              <w:ind w:left="420" w:leftChars="0" w:hanging="420" w:firstLineChars="0"/>
                              <w:jc w:val="lef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其他：全国高校商业精英挑战赛品牌策划大赛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全国一等奖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、同系列“精创教育杯”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全国二等奖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、新零售大赛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全国一等奖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。</w:t>
                            </w:r>
                          </w:p>
                          <w:p w14:paraId="5BFAC8C3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实习经历</w:t>
                            </w:r>
                          </w:p>
                          <w:p w14:paraId="43ED8AC5">
                            <w:pPr>
                              <w:spacing w:before="48" w:line="20" w:lineRule="exac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10846" w:type="dxa"/>
                              <w:tblInd w:w="0" w:type="dxa"/>
                              <w:tblBorders>
                                <w:top w:val="none" w:color="FFFFFF" w:sz="0" w:space="0"/>
                                <w:left w:val="none" w:color="FFFFFF" w:sz="0" w:space="0"/>
                                <w:bottom w:val="none" w:color="FFFFFF" w:sz="0" w:space="0"/>
                                <w:right w:val="none" w:color="FFFFFF" w:sz="0" w:space="0"/>
                                <w:insideH w:val="none" w:color="FFFFFF" w:sz="0" w:space="0"/>
                                <w:insideV w:val="none" w:color="FFFFFF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</w:tblPr>
                            <w:tblGrid>
                              <w:gridCol w:w="1036"/>
                              <w:gridCol w:w="9810"/>
                            </w:tblGrid>
                            <w:tr w14:paraId="27DE81A3">
                              <w:tblPrEx>
                                <w:tblBorders>
                                  <w:top w:val="none" w:color="FFFFFF" w:sz="0" w:space="0"/>
                                  <w:left w:val="none" w:color="FFFFFF" w:sz="0" w:space="0"/>
                                  <w:bottom w:val="none" w:color="FFFFFF" w:sz="0" w:space="0"/>
                                  <w:right w:val="none" w:color="FFFFFF" w:sz="0" w:space="0"/>
                                  <w:insideH w:val="none" w:color="FFFFFF" w:sz="0" w:space="0"/>
                                  <w:insideV w:val="none" w:color="FFFFFF" w:sz="0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cantSplit/>
                                <w:trHeight w:val="330" w:hRule="atLeast"/>
                              </w:trPr>
                              <w:tc>
                                <w:tcPr>
                                  <w:tcW w:w="10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0" w:type="dxa"/>
                                    <w:left w:w="45" w:type="dxa"/>
                                    <w:bottom w:w="25" w:type="dxa"/>
                                    <w:right w:w="20" w:type="dxa"/>
                                  </w:tcMar>
                                  <w:vAlign w:val="center"/>
                                </w:tcPr>
                                <w:p w14:paraId="10B54DD1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drawing>
                                      <wp:inline distT="0" distB="0" distL="114300" distR="114300">
                                        <wp:extent cx="635635" cy="193675"/>
                                        <wp:effectExtent l="0" t="0" r="0" b="0"/>
                                        <wp:docPr id="13" name="图片 13" descr="log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图片 13" descr="logo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35635" cy="193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5" w:type="dxa"/>
                                    <w:left w:w="60" w:type="dxa"/>
                                    <w:bottom w:w="3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A85F4BF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渝欧数智科技（集团）股份有限公司｜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AI数据产品经理实习生         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                2026.6-2026.9</w:t>
                                  </w:r>
                                </w:p>
                              </w:tc>
                            </w:tr>
                          </w:tbl>
                          <w:p w14:paraId="014DCCD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销售库存数据监控平台设计与落地：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深入业务调研销售、仓储、运营等角色的数据需求，主导设计并落地销售库存监控数据产品。完成销售明细、库存明细等5张核心表的数据治理与口径统一，覆盖约50万件库存、10万+条销售明细，数据准确率从69%提升至94%；基于FineBI搭建销售、库存、周转、效期4大模块看板，数据更新时效从T+3缩短至T+1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。</w:t>
                            </w:r>
                          </w:p>
                          <w:p w14:paraId="1C88E82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智能效期预警产品设计：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针对临期库存损耗痛点，拆解SKU库存、销售节奏、渠道价格、推广费用、品牌补贴5大变量，定义效期预警指标体系与产品规则，推动效期管理从7-8个月粗粒度判断升级为3-5个月可控预警，覆盖43个SKU，减少临期库存损失约98.7万元。</w:t>
                            </w:r>
                          </w:p>
                          <w:p w14:paraId="1C49480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AI数据产品与智能Agent设计：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梳理进销存管理、日报生成、价值链核算等高频业务流程，将其产品化为可复用Skill，累计沉淀10+企业级技能，其中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库存梳理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Skill将原2小时/天的人工操作压缩至5分钟自动生成，效率提升约95%；参与设计基于RAG/Agent工作流的查价Agent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与知识库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产品，提升渠道价格监控效率与异常响应速度。</w:t>
                            </w:r>
                          </w:p>
                          <w:p w14:paraId="54E5FE86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项目经历</w:t>
                            </w:r>
                          </w:p>
                          <w:p w14:paraId="1717796D">
                            <w:pPr>
                              <w:spacing w:before="48" w:line="20" w:lineRule="exac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  <w:tbl>
                            <w:tblPr>
                              <w:tblStyle w:val="4"/>
                              <w:tblW w:w="10846" w:type="dxa"/>
                              <w:tblInd w:w="0" w:type="dxa"/>
                              <w:tblBorders>
                                <w:top w:val="none" w:color="FFFFFF" w:sz="0" w:space="0"/>
                                <w:left w:val="none" w:color="FFFFFF" w:sz="0" w:space="0"/>
                                <w:bottom w:val="none" w:color="FFFFFF" w:sz="0" w:space="0"/>
                                <w:right w:val="none" w:color="FFFFFF" w:sz="0" w:space="0"/>
                                <w:insideH w:val="none" w:color="FFFFFF" w:sz="0" w:space="0"/>
                                <w:insideV w:val="none" w:color="FFFFFF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</w:tblPr>
                            <w:tblGrid>
                              <w:gridCol w:w="1036"/>
                              <w:gridCol w:w="9810"/>
                            </w:tblGrid>
                            <w:tr w14:paraId="017B90E8">
                              <w:tblPrEx>
                                <w:tblBorders>
                                  <w:top w:val="none" w:color="FFFFFF" w:sz="0" w:space="0"/>
                                  <w:left w:val="none" w:color="FFFFFF" w:sz="0" w:space="0"/>
                                  <w:bottom w:val="none" w:color="FFFFFF" w:sz="0" w:space="0"/>
                                  <w:right w:val="none" w:color="FFFFFF" w:sz="0" w:space="0"/>
                                  <w:insideH w:val="none" w:color="FFFFFF" w:sz="0" w:space="0"/>
                                  <w:insideV w:val="none" w:color="FFFFFF" w:sz="0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cantSplit/>
                                <w:trHeight w:val="322" w:hRule="atLeast"/>
                              </w:trPr>
                              <w:tc>
                                <w:tcPr>
                                  <w:tcW w:w="10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0" w:type="dxa"/>
                                    <w:left w:w="45" w:type="dxa"/>
                                    <w:bottom w:w="25" w:type="dxa"/>
                                    <w:right w:w="20" w:type="dxa"/>
                                  </w:tcMar>
                                  <w:vAlign w:val="center"/>
                                </w:tcPr>
                                <w:p w14:paraId="089959E8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drawing>
                                      <wp:inline distT="0" distB="0" distL="114300" distR="114300">
                                        <wp:extent cx="605155" cy="195580"/>
                                        <wp:effectExtent l="0" t="0" r="0" b="0"/>
                                        <wp:docPr id="20" name="图片 20" descr="exec-44db6fa1-0fe6-43ed-8433-1bacff14868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20" descr="exec-44db6fa1-0fe6-43ed-8433-1bacff14868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rcRect t="23321" b="192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05155" cy="1955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5" w:type="dxa"/>
                                    <w:left w:w="60" w:type="dxa"/>
                                    <w:bottom w:w="3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B5592A6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维E答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（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VitaE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/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/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） AI 知识与数据问答产品（RAG+Agent）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｜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独立负责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2026.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7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-2026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.8</w:t>
                                  </w:r>
                                </w:p>
                              </w:tc>
                            </w:tr>
                          </w:tbl>
                          <w:p w14:paraId="658017B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RAG全链路搭建：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基于LangChain实现中文递归分块，搭建BGE中文向量召回+BM25关键词召回的混合检索，经RRF分数融合与BGE-Reranker精排，结合引用标注与拒答阈值降低无关召回与幻觉，知识库覆盖15篇/85个文档块。</w:t>
                            </w:r>
                          </w:p>
                          <w:p w14:paraId="71001A7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Agent工具编排：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基于LangChain+ChatOpenAI（DeepSeek-V4）实现数据Agent的FunctionCalling多轮编排，将库存、销售、效期能力封装为8个结构化本地工具（SKU消歧、当前库存、临期风险、区间销售、环比、趋势、溯源等），支持多轮工具选择与参数抽取，LLM负责编排与表达、算数全部在本地完成。</w:t>
                            </w:r>
                          </w:p>
                          <w:p w14:paraId="4D05C92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数据工程与一致性：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用Pandas实现多SheetExcel容错解析与列名映射；设计幂等统一导入管线（局部构建+锁内原子替换，保障并发线程安全），支持网页上传与文件夹45秒自动热加载；基于SQLite实现销售按月整月替换累积、库存按月首个工作日快照的分层留存，支撑跨月环比与趋势分析。</w:t>
                            </w:r>
                          </w:p>
                          <w:p w14:paraId="0B04CD3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项目效果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：在133031条流水上，净销42.29万件/1810.15万元及渠道、平台拆分与人工透视结果零偏差；固定问法零成本秒回，各平台净销、临期清单等复杂问法由Agent自动多步取数并组织回答；51项测试全部通过，服务可稳定复跑。</w:t>
                            </w:r>
                          </w:p>
                          <w:tbl>
                            <w:tblPr>
                              <w:tblStyle w:val="4"/>
                              <w:tblW w:w="10846" w:type="dxa"/>
                              <w:tblInd w:w="0" w:type="dxa"/>
                              <w:tblBorders>
                                <w:top w:val="none" w:color="FFFFFF" w:sz="0" w:space="0"/>
                                <w:left w:val="none" w:color="FFFFFF" w:sz="0" w:space="0"/>
                                <w:bottom w:val="none" w:color="FFFFFF" w:sz="0" w:space="0"/>
                                <w:right w:val="none" w:color="FFFFFF" w:sz="0" w:space="0"/>
                                <w:insideH w:val="none" w:color="FFFFFF" w:sz="0" w:space="0"/>
                                <w:insideV w:val="none" w:color="FFFFFF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</w:tblPr>
                            <w:tblGrid>
                              <w:gridCol w:w="1036"/>
                              <w:gridCol w:w="9810"/>
                            </w:tblGrid>
                            <w:tr w14:paraId="79EADD6B">
                              <w:tblPrEx>
                                <w:tblBorders>
                                  <w:top w:val="none" w:color="FFFFFF" w:sz="0" w:space="0"/>
                                  <w:left w:val="none" w:color="FFFFFF" w:sz="0" w:space="0"/>
                                  <w:bottom w:val="none" w:color="FFFFFF" w:sz="0" w:space="0"/>
                                  <w:right w:val="none" w:color="FFFFFF" w:sz="0" w:space="0"/>
                                  <w:insideH w:val="none" w:color="FFFFFF" w:sz="0" w:space="0"/>
                                  <w:insideV w:val="none" w:color="FFFFFF" w:sz="0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cantSplit/>
                                <w:trHeight w:val="234" w:hRule="atLeast"/>
                              </w:trPr>
                              <w:tc>
                                <w:tcPr>
                                  <w:tcW w:w="10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0" w:type="dxa"/>
                                    <w:left w:w="45" w:type="dxa"/>
                                    <w:bottom w:w="25" w:type="dxa"/>
                                    <w:right w:w="20" w:type="dxa"/>
                                  </w:tcMar>
                                  <w:vAlign w:val="center"/>
                                </w:tcPr>
                                <w:p w14:paraId="1ACCCE41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drawing>
                                      <wp:inline distT="0" distB="0" distL="114300" distR="114300">
                                        <wp:extent cx="568960" cy="178435"/>
                                        <wp:effectExtent l="0" t="0" r="0" b="3810"/>
                                        <wp:docPr id="21" name="图片 21" descr="exec-4144d53e-20e6-402a-8465-8c26414f877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21" descr="exec-4144d53e-20e6-402a-8465-8c26414f877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8"/>
                                                <a:srcRect t="24627" b="1679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68960" cy="1784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5" w:type="dxa"/>
                                    <w:left w:w="60" w:type="dxa"/>
                                    <w:bottom w:w="3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1ADE9EE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MaoGo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电商渠道价格监控产品「价格雷达 Agent」｜独立负责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2026.6-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2026.7</w:t>
                                  </w:r>
                                </w:p>
                              </w:tc>
                            </w:tr>
                          </w:tbl>
                          <w:p w14:paraId="7DC4BAD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需求定义与全流程负责：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针对渠道价盘盯盘痛点——淘宝/京东/抖音3平台97个SKU需持续核对到手价与KA价、破价即价盘击穿，独立完成需求定义、方案设计、技术落地到迭代的产品全流程，已稳定运行。</w:t>
                            </w:r>
                          </w:p>
                          <w:p w14:paraId="50F1692A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"零代码"产品形态设计：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以飞书多维表格三表作为产品界面（商品底表=输入、价格明细=输出台账、运行日志=监控），业务同学在表格内维护商品即可，Agent每小时自动巡检、破价分钟级群预警并回填最近价，全程无需接触代码。</w:t>
                            </w:r>
                          </w:p>
                          <w:p w14:paraId="57BB246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闭环效果：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替代逐平台人工盯盘约2小时/天，破价响应由小时级缩短至分钟级；累计推送破价/异常预警300+次，价格台账团队共享、结果可追溯，沉淀为可持续维护的渠道价格资产。</w:t>
                            </w:r>
                          </w:p>
                          <w:tbl>
                            <w:tblPr>
                              <w:tblStyle w:val="4"/>
                              <w:tblW w:w="10846" w:type="dxa"/>
                              <w:tblInd w:w="0" w:type="dxa"/>
                              <w:tblBorders>
                                <w:top w:val="none" w:color="FFFFFF" w:sz="0" w:space="0"/>
                                <w:left w:val="none" w:color="FFFFFF" w:sz="0" w:space="0"/>
                                <w:bottom w:val="none" w:color="FFFFFF" w:sz="0" w:space="0"/>
                                <w:right w:val="none" w:color="FFFFFF" w:sz="0" w:space="0"/>
                                <w:insideH w:val="none" w:color="FFFFFF" w:sz="0" w:space="0"/>
                                <w:insideV w:val="none" w:color="FFFFFF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" w:type="dxa"/>
                                <w:bottom w:w="0" w:type="dxa"/>
                                <w:right w:w="10" w:type="dxa"/>
                              </w:tblCellMar>
                            </w:tblPr>
                            <w:tblGrid>
                              <w:gridCol w:w="1036"/>
                              <w:gridCol w:w="9810"/>
                            </w:tblGrid>
                            <w:tr w14:paraId="288602D6">
                              <w:tblPrEx>
                                <w:tblBorders>
                                  <w:top w:val="none" w:color="FFFFFF" w:sz="0" w:space="0"/>
                                  <w:left w:val="none" w:color="FFFFFF" w:sz="0" w:space="0"/>
                                  <w:bottom w:val="none" w:color="FFFFFF" w:sz="0" w:space="0"/>
                                  <w:right w:val="none" w:color="FFFFFF" w:sz="0" w:space="0"/>
                                  <w:insideH w:val="none" w:color="FFFFFF" w:sz="0" w:space="0"/>
                                  <w:insideV w:val="none" w:color="FFFFFF" w:sz="0" w:space="0"/>
                                </w:tblBorders>
                                <w:tblCellMar>
                                  <w:top w:w="0" w:type="dxa"/>
                                  <w:left w:w="10" w:type="dxa"/>
                                  <w:bottom w:w="0" w:type="dxa"/>
                                  <w:right w:w="10" w:type="dxa"/>
                                </w:tblCellMar>
                              </w:tblPrEx>
                              <w:trPr>
                                <w:cantSplit/>
                                <w:trHeight w:val="92" w:hRule="atLeast"/>
                              </w:trPr>
                              <w:tc>
                                <w:tcPr>
                                  <w:tcW w:w="10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0" w:type="dxa"/>
                                    <w:left w:w="45" w:type="dxa"/>
                                    <w:bottom w:w="25" w:type="dxa"/>
                                    <w:right w:w="20" w:type="dxa"/>
                                  </w:tcMar>
                                  <w:vAlign w:val="center"/>
                                </w:tcPr>
                                <w:p w14:paraId="435DECC7">
                                  <w:pPr>
                                    <w:spacing w:before="0" w:after="0"/>
                                    <w:jc w:val="center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drawing>
                                      <wp:inline distT="0" distB="0" distL="114300" distR="114300">
                                        <wp:extent cx="520065" cy="173355"/>
                                        <wp:effectExtent l="0" t="0" r="13335" b="9525"/>
                                        <wp:docPr id="14" name="图片 14" descr="exec-4f5be0b8-fb23-46ac-a9ba-e08aa524d2d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" name="图片 14" descr="exec-4f5be0b8-fb23-46ac-a9ba-e08aa524d2d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20065" cy="17335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981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1F1F1"/>
                                  <w:tcMar>
                                    <w:top w:w="35" w:type="dxa"/>
                                    <w:left w:w="60" w:type="dxa"/>
                                    <w:bottom w:w="35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0E624A5">
                                  <w:pPr>
                                    <w:spacing w:before="0" w:after="0"/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“数有据”经营分析 Copilot｜独立负责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                 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 xml:space="preserve">                             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2026.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6</w:t>
                                  </w: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</w:tbl>
                          <w:p w14:paraId="3FAC5916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Agent工作流搭建：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基于LangGraph、FastAPI、PostgreSQL、React搭建经营分析Agent，将业务问题拆解为指标匹配、参数确认、SQL生成、查询校验、数据执行、图表配置和结论生成等步骤。</w:t>
                            </w:r>
                          </w:p>
                          <w:p w14:paraId="5C9A47B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数据工具与分析能力开发：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开发结构化指标及查询工具，使Agent能够调用指标目录和数据库完成销售趋势、渠道表现、商品贡献及售后冲减分析，并将常用SQL和可视化配置沉淀为可复用模板。</w:t>
                            </w:r>
                          </w:p>
                          <w:p w14:paraId="4A19F6C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可信执行与结果追溯：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建立只读查询、字段白名单、执行预算、有限重试和结果校验机制，为关键数字关联指标版本、SQL及数据结果，面向1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3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.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3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万条真实销售明细形成从提问、取数到图表和经营报告的自动化分析闭环。</w:t>
                            </w:r>
                          </w:p>
                          <w:p w14:paraId="6F163337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专业技能</w:t>
                            </w:r>
                          </w:p>
                          <w:p w14:paraId="0AF92136">
                            <w:pPr>
                              <w:spacing w:before="48" w:line="20" w:lineRule="exact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0" distR="0">
                                  <wp:extent cx="6667500" cy="12700"/>
                                  <wp:effectExtent l="0" t="0" r="0" b="0"/>
                                  <wp:docPr id="7" name="IM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M 6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750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 </w:t>
                            </w:r>
                          </w:p>
                          <w:tbl>
                            <w:tblPr>
                              <w:tblStyle w:val="4"/>
                              <w:tblW w:w="10743" w:type="dxa"/>
                              <w:jc w:val="center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0743"/>
                            </w:tblGrid>
                            <w:tr w14:paraId="0FAC56A6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jc w:val="center"/>
                              </w:trPr>
                              <w:tc>
                                <w:tcPr>
                                  <w:tcW w:w="10743" w:type="dxa"/>
                                  <w:tcMar>
                                    <w:top w:w="45" w:type="dxa"/>
                                    <w:left w:w="70" w:type="dxa"/>
                                    <w:bottom w:w="45" w:type="dxa"/>
                                    <w:right w:w="70" w:type="dxa"/>
                                  </w:tcMar>
                                  <w:vAlign w:val="top"/>
                                </w:tcPr>
                                <w:p w14:paraId="602DF26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ind w:left="420" w:leftChars="0" w:hanging="420" w:firstLineChars="0"/>
                                    <w:jc w:val="left"/>
                                    <w:textAlignment w:val="auto"/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产品设计：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熟练使用Figma进行原型设计与交互演示，了解Axure/墨刀；具备PRD/MRD文档撰写、需求拆解能力。</w:t>
                                  </w:r>
                                </w:p>
                                <w:p w14:paraId="584A65FD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ind w:left="420" w:leftChars="0" w:hanging="420" w:firstLineChars="0"/>
                                    <w:jc w:val="left"/>
                                    <w:textAlignment w:val="auto"/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用户研究：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掌握问卷设计、深度访谈、可用性测试、竞品分析等用户研究方法，具备SPSS统计分析经验。</w:t>
                                  </w:r>
                                </w:p>
                                <w:p w14:paraId="27C1C85C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ind w:left="420" w:leftChars="0" w:hanging="420" w:firstLineChars="0"/>
                                    <w:jc w:val="left"/>
                                    <w:textAlignment w:val="auto"/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数据分析：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熟练使用SQL（多表关联/窗口函数）、Python（Pandas/NumPy）进行数据提取与分析，掌握Excel（数据透视表/函数）、FineBI/PowerBI看板搭建，可独立完成指标体系搭建、漏斗分析、A/B测试设计与结果复盘。</w:t>
                                  </w:r>
                                </w:p>
                                <w:p w14:paraId="56A3E294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ind w:left="420" w:leftChars="0" w:hanging="420" w:firstLineChars="0"/>
                                    <w:jc w:val="left"/>
                                    <w:textAlignment w:val="auto"/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AI工具应用：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熟练使用Claude/Codex等工具辅助需求分析、文档撰写与原型开发，熟悉RAG/Agent工作流，具备将业务流程AI化的实践经验</w:t>
                                  </w:r>
                                </w:p>
                                <w:p w14:paraId="1D5B6A19"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bidi w:val="0"/>
                                    <w:adjustRightInd/>
                                    <w:snapToGrid/>
                                    <w:spacing w:line="240" w:lineRule="exact"/>
                                    <w:ind w:left="420" w:leftChars="0" w:hanging="420" w:firstLineChars="0"/>
                                    <w:jc w:val="left"/>
                                    <w:textAlignment w:val="auto"/>
                                    <w:rPr>
                                      <w:rFonts w:hint="default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语言与证书：</w:t>
                                  </w:r>
                                  <w:r>
                                    <w:rPr>
                                      <w:rFonts w:hint="eastAsia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  <w:t>CET-6（568）、CET-4（588）；CDALevel1、数据分析师认证</w:t>
                                  </w:r>
                                </w:p>
                                <w:p w14:paraId="372547A2">
                                  <w:pPr>
                                    <w:pStyle w:val="3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kinsoku w:val="0"/>
                                    <w:wordWrap/>
                                    <w:overflowPunct/>
                                    <w:topLinePunct w:val="0"/>
                                    <w:autoSpaceDE w:val="0"/>
                                    <w:autoSpaceDN w:val="0"/>
                                    <w:bidi w:val="0"/>
                                    <w:adjustRightInd w:val="0"/>
                                    <w:snapToGrid w:val="0"/>
                                    <w:spacing w:line="240" w:lineRule="auto"/>
                                    <w:jc w:val="left"/>
                                    <w:textAlignment w:val="baseline"/>
                                    <w:rPr>
                                      <w:rFonts w:hint="default" w:ascii="Times New Roman" w:hAnsi="Times New Roman" w:eastAsia="楷体" w:cs="Times New Roman"/>
                                      <w:b w:val="0"/>
                                      <w:bCs w:val="0"/>
                                      <w:snapToGrid w:val="0"/>
                                      <w:color w:val="000000"/>
                                      <w:spacing w:val="4"/>
                                      <w:kern w:val="0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default" w:ascii="Times New Roman" w:hAnsi="Times New Roman" w:eastAsia="楷体" w:cs="Times New Roman"/>
                                      <w:b/>
                                      <w:bCs/>
                                      <w:snapToGrid w:val="0"/>
                                      <w:color w:val="5270AF"/>
                                      <w:spacing w:val="4"/>
                                      <w:kern w:val="0"/>
                                      <w:sz w:val="24"/>
                                      <w:szCs w:val="24"/>
                                      <w:lang w:val="en-US" w:eastAsia="zh-CN" w:bidi="ar-SA"/>
                                    </w:rPr>
                                    <w:t>校园经历</w:t>
                                  </w:r>
                                </w:p>
                              </w:tc>
                            </w:tr>
                          </w:tbl>
                          <w:p w14:paraId="23C41CD7">
                            <w:pPr>
                              <w:spacing w:before="48" w:line="20" w:lineRule="exact"/>
                              <w:rPr>
                                <w:rFonts w:hint="default" w:ascii="Times New Roman" w:hAnsi="Times New Roman" w:eastAsia="楷体" w:cs="Times New Roman"/>
                                <w:color w:val="333333"/>
                                <w:spacing w:val="-2"/>
                                <w:sz w:val="17"/>
                                <w:szCs w:val="17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pacing w:val="4"/>
                                <w:lang w:val="en-US" w:eastAsia="zh-CN"/>
                              </w:rPr>
                              <w:t xml:space="preserve">                  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</w:rPr>
                              <w:drawing>
                                <wp:inline distT="0" distB="0" distL="0" distR="0">
                                  <wp:extent cx="6667500" cy="12700"/>
                                  <wp:effectExtent l="0" t="0" r="0" b="0"/>
                                  <wp:docPr id="6" name="IM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 6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67500" cy="1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pacing w:val="4"/>
                                <w:sz w:val="17"/>
                                <w:szCs w:val="17"/>
                                <w:highlight w:val="lightGray"/>
                                <w:lang w:val="en-US" w:eastAsia="zh-CN"/>
                              </w:rPr>
                              <w:t xml:space="preserve">3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pacing w:val="4"/>
                                <w:sz w:val="17"/>
                                <w:szCs w:val="17"/>
                                <w:highlight w:val="non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pacing w:val="4"/>
                                <w:sz w:val="17"/>
                                <w:szCs w:val="17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5A5DFCF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经贸202班级班长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：组织班会、主题活动50+场，积累信息同步、资源协调与多线程事务推进能力。</w:t>
                            </w:r>
                          </w:p>
                          <w:p w14:paraId="4BB94E6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学院团委办公室骨干：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负责日常办公与档案管理，参与组织院级活动20+场、覆盖2000+人次，提升跨部门协同与执行力。</w:t>
                            </w:r>
                          </w:p>
                          <w:p w14:paraId="42495C5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经贸222助理班主任：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协助管理63名新生，组织主题活动10+场，建立学情跟踪机制，具备沟通协同与执行落地能力。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3.85pt;margin-top:0.45pt;height:765.3pt;width:547.3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zGJk82wAAAAoBAAAPAAAAAAAAAAEAIAAAACIAAABk&#10;cnMvZG93bnJldi54bWxQSwECFAAUAAAACACHTuJAH3yHk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8B7FC7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baseline"/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教育背景</w:t>
                      </w:r>
                    </w:p>
                    <w:p w14:paraId="37109739">
                      <w:pPr>
                        <w:spacing w:before="48" w:line="20" w:lineRule="exac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drawing>
                          <wp:inline distT="0" distB="0" distL="0" distR="0">
                            <wp:extent cx="6667500" cy="12700"/>
                            <wp:effectExtent l="0" t="0" r="0" b="0"/>
                            <wp:docPr id="2" name="IM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 6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7500" cy="1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 xml:space="preserve">                         </w:t>
                      </w:r>
                    </w:p>
                    <w:p w14:paraId="4F450DAB"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exact"/>
                        <w:ind w:leftChars="0" w:right="0" w:rightChars="0"/>
                        <w:textAlignment w:val="baseline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2025.09-2027.06                   江西财经大学                            应用统计                       硕士</w:t>
                      </w:r>
                    </w:p>
                    <w:p w14:paraId="7A2F38D9"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exact"/>
                        <w:ind w:leftChars="0" w:right="0" w:rightChars="0"/>
                        <w:textAlignment w:val="baseline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2020.09-2024.06                   江西财经大学                         国际经济与贸易                    本科</w:t>
                      </w:r>
                    </w:p>
                    <w:p w14:paraId="126AD9E6"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exact"/>
                        <w:ind w:left="420" w:leftChars="0" w:right="0" w:rightChars="0" w:hanging="420" w:firstLineChars="0"/>
                        <w:textAlignment w:val="baseline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学业成绩与个人荣誉：GPA：4.7/5.0（专业前5%）；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国家奖学金（专业前1%）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、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“上饶银行奖学金”（专业前5%）</w:t>
                      </w:r>
                    </w:p>
                    <w:p w14:paraId="0CC9B26C">
                      <w:pPr>
                        <w:pStyle w:val="9"/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line="240" w:lineRule="exact"/>
                        <w:ind w:left="420" w:leftChars="0" w:right="0" w:rightChars="0" w:hanging="420" w:firstLineChars="0"/>
                        <w:textAlignment w:val="baseline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主修课程：SQL实践与应用（99）、机器学习（97）、Python（93）、AI多智能体开发与实践（96）、统计学（97）等。</w:t>
                      </w:r>
                    </w:p>
                    <w:p w14:paraId="023DD23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suppressLineNumbers w:val="0"/>
                        <w:wordWrap/>
                        <w:overflowPunct/>
                        <w:topLinePunct w:val="0"/>
                        <w:bidi w:val="0"/>
                        <w:spacing w:line="240" w:lineRule="exact"/>
                        <w:ind w:left="420" w:leftChars="0" w:hanging="420" w:firstLineChars="0"/>
                        <w:jc w:val="lef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代表荣誉：2026年全国大学生统计建模大赛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全国一等奖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、2026年研究生应用统计案例分析大赛华东赛区一等奖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/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、正大杯全国三等奖、数智化决策大赛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全国一等奖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（9/570）。江西财经大学优秀毕业生、优秀团干、优秀学生、院级品德之星</w:t>
                      </w:r>
                    </w:p>
                    <w:p w14:paraId="5202D70C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2"/>
                        </w:numPr>
                        <w:suppressLineNumbers w:val="0"/>
                        <w:wordWrap/>
                        <w:overflowPunct/>
                        <w:topLinePunct w:val="0"/>
                        <w:bidi w:val="0"/>
                        <w:spacing w:line="240" w:lineRule="exact"/>
                        <w:ind w:left="420" w:leftChars="0" w:hanging="420" w:firstLineChars="0"/>
                        <w:jc w:val="lef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其他：全国高校商业精英挑战赛品牌策划大赛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全国一等奖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、同系列“精创教育杯”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全国二等奖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、新零售大赛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全国一等奖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。</w:t>
                      </w:r>
                    </w:p>
                    <w:p w14:paraId="5BFAC8C3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baseline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实习经历</w:t>
                      </w:r>
                    </w:p>
                    <w:p w14:paraId="43ED8AC5">
                      <w:pPr>
                        <w:spacing w:before="48" w:line="20" w:lineRule="exac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  <w:tbl>
                      <w:tblPr>
                        <w:tblStyle w:val="4"/>
                        <w:tblW w:w="10846" w:type="dxa"/>
                        <w:tblInd w:w="0" w:type="dxa"/>
                        <w:tblBorders>
                          <w:top w:val="none" w:color="FFFFFF" w:sz="0" w:space="0"/>
                          <w:left w:val="none" w:color="FFFFFF" w:sz="0" w:space="0"/>
                          <w:bottom w:val="none" w:color="FFFFFF" w:sz="0" w:space="0"/>
                          <w:right w:val="none" w:color="FFFFFF" w:sz="0" w:space="0"/>
                          <w:insideH w:val="none" w:color="FFFFFF" w:sz="0" w:space="0"/>
                          <w:insideV w:val="none" w:color="FFFFFF" w:sz="0" w:space="0"/>
                        </w:tblBorders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</w:tblPr>
                      <w:tblGrid>
                        <w:gridCol w:w="1036"/>
                        <w:gridCol w:w="9810"/>
                      </w:tblGrid>
                      <w:tr w14:paraId="27DE81A3">
                        <w:tblPrEx>
                          <w:tblBorders>
                            <w:top w:val="none" w:color="FFFFFF" w:sz="0" w:space="0"/>
                            <w:left w:val="none" w:color="FFFFFF" w:sz="0" w:space="0"/>
                            <w:bottom w:val="none" w:color="FFFFFF" w:sz="0" w:space="0"/>
                            <w:right w:val="none" w:color="FFFFFF" w:sz="0" w:space="0"/>
                            <w:insideH w:val="none" w:color="FFFFFF" w:sz="0" w:space="0"/>
                            <w:insideV w:val="none" w:color="FFFFFF" w:sz="0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cantSplit/>
                          <w:trHeight w:val="330" w:hRule="atLeast"/>
                        </w:trPr>
                        <w:tc>
                          <w:tcPr>
                            <w:tcW w:w="10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0" w:type="dxa"/>
                              <w:left w:w="45" w:type="dxa"/>
                              <w:bottom w:w="25" w:type="dxa"/>
                              <w:right w:w="20" w:type="dxa"/>
                            </w:tcMar>
                            <w:vAlign w:val="center"/>
                          </w:tcPr>
                          <w:p w14:paraId="10B54DD1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114300" distR="114300">
                                  <wp:extent cx="635635" cy="193675"/>
                                  <wp:effectExtent l="0" t="0" r="0" b="0"/>
                                  <wp:docPr id="13" name="图片 13" descr="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3" descr="logo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5635" cy="1936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5" w:type="dxa"/>
                              <w:left w:w="60" w:type="dxa"/>
                              <w:bottom w:w="35" w:type="dxa"/>
                              <w:right w:w="0" w:type="dxa"/>
                            </w:tcMar>
                            <w:vAlign w:val="center"/>
                          </w:tcPr>
                          <w:p w14:paraId="2A85F4BF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渝欧数智科技（集团）股份有限公司｜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AI数据产品经理实习生        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2026.6-2026.9</w:t>
                            </w:r>
                          </w:p>
                        </w:tc>
                      </w:tr>
                    </w:tbl>
                    <w:p w14:paraId="014DCCDF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销售库存数据监控平台设计与落地：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深入业务调研销售、仓储、运营等角色的数据需求，主导设计并落地销售库存监控数据产品。完成销售明细、库存明细等5张核心表的数据治理与口径统一，覆盖约50万件库存、10万+条销售明细，数据准确率从69%提升至94%；基于FineBI搭建销售、库存、周转、效期4大模块看板，数据更新时效从T+3缩短至T+1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。</w:t>
                      </w:r>
                    </w:p>
                    <w:p w14:paraId="1C88E822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智能效期预警产品设计：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针对临期库存损耗痛点，拆解SKU库存、销售节奏、渠道价格、推广费用、品牌补贴5大变量，定义效期预警指标体系与产品规则，推动效期管理从7-8个月粗粒度判断升级为3-5个月可控预警，覆盖43个SKU，减少临期库存损失约98.7万元。</w:t>
                      </w:r>
                    </w:p>
                    <w:p w14:paraId="1C494809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AI数据产品与智能Agent设计：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梳理进销存管理、日报生成、价值链核算等高频业务流程，将其产品化为可复用Skill，累计沉淀10+企业级技能，其中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库存梳理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Skill将原2小时/天的人工操作压缩至5分钟自动生成，效率提升约95%；参与设计基于RAG/Agent工作流的查价Agent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与知识库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产品，提升渠道价格监控效率与异常响应速度。</w:t>
                      </w:r>
                    </w:p>
                    <w:p w14:paraId="54E5FE86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baseline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项目经历</w:t>
                      </w:r>
                    </w:p>
                    <w:p w14:paraId="1717796D">
                      <w:pPr>
                        <w:spacing w:before="48" w:line="20" w:lineRule="exac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  <w:tbl>
                      <w:tblPr>
                        <w:tblStyle w:val="4"/>
                        <w:tblW w:w="10846" w:type="dxa"/>
                        <w:tblInd w:w="0" w:type="dxa"/>
                        <w:tblBorders>
                          <w:top w:val="none" w:color="FFFFFF" w:sz="0" w:space="0"/>
                          <w:left w:val="none" w:color="FFFFFF" w:sz="0" w:space="0"/>
                          <w:bottom w:val="none" w:color="FFFFFF" w:sz="0" w:space="0"/>
                          <w:right w:val="none" w:color="FFFFFF" w:sz="0" w:space="0"/>
                          <w:insideH w:val="none" w:color="FFFFFF" w:sz="0" w:space="0"/>
                          <w:insideV w:val="none" w:color="FFFFFF" w:sz="0" w:space="0"/>
                        </w:tblBorders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</w:tblPr>
                      <w:tblGrid>
                        <w:gridCol w:w="1036"/>
                        <w:gridCol w:w="9810"/>
                      </w:tblGrid>
                      <w:tr w14:paraId="017B90E8">
                        <w:tblPrEx>
                          <w:tblBorders>
                            <w:top w:val="none" w:color="FFFFFF" w:sz="0" w:space="0"/>
                            <w:left w:val="none" w:color="FFFFFF" w:sz="0" w:space="0"/>
                            <w:bottom w:val="none" w:color="FFFFFF" w:sz="0" w:space="0"/>
                            <w:right w:val="none" w:color="FFFFFF" w:sz="0" w:space="0"/>
                            <w:insideH w:val="none" w:color="FFFFFF" w:sz="0" w:space="0"/>
                            <w:insideV w:val="none" w:color="FFFFFF" w:sz="0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cantSplit/>
                          <w:trHeight w:val="322" w:hRule="atLeast"/>
                        </w:trPr>
                        <w:tc>
                          <w:tcPr>
                            <w:tcW w:w="10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0" w:type="dxa"/>
                              <w:left w:w="45" w:type="dxa"/>
                              <w:bottom w:w="25" w:type="dxa"/>
                              <w:right w:w="20" w:type="dxa"/>
                            </w:tcMar>
                            <w:vAlign w:val="center"/>
                          </w:tcPr>
                          <w:p w14:paraId="089959E8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114300" distR="114300">
                                  <wp:extent cx="605155" cy="195580"/>
                                  <wp:effectExtent l="0" t="0" r="0" b="0"/>
                                  <wp:docPr id="20" name="图片 20" descr="exec-44db6fa1-0fe6-43ed-8433-1bacff1486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20" descr="exec-44db6fa1-0fe6-43ed-8433-1bacff14868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 t="23321" b="192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5155" cy="195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5" w:type="dxa"/>
                              <w:left w:w="60" w:type="dxa"/>
                              <w:bottom w:w="35" w:type="dxa"/>
                              <w:right w:w="0" w:type="dxa"/>
                            </w:tcMar>
                            <w:vAlign w:val="center"/>
                          </w:tcPr>
                          <w:p w14:paraId="5B5592A6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维E答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（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VitaE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/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/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） AI 知识与数据问答产品（RAG+Agent）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｜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独立负责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2026.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7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-2026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.8</w:t>
                            </w:r>
                          </w:p>
                        </w:tc>
                      </w:tr>
                    </w:tbl>
                    <w:p w14:paraId="658017B7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RAG全链路搭建：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基于LangChain实现中文递归分块，搭建BGE中文向量召回+BM25关键词召回的混合检索，经RRF分数融合与BGE-Reranker精排，结合引用标注与拒答阈值降低无关召回与幻觉，知识库覆盖15篇/85个文档块。</w:t>
                      </w:r>
                    </w:p>
                    <w:p w14:paraId="71001A70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Agent工具编排：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基于LangChain+ChatOpenAI（DeepSeek-V4）实现数据Agent的FunctionCalling多轮编排，将库存、销售、效期能力封装为8个结构化本地工具（SKU消歧、当前库存、临期风险、区间销售、环比、趋势、溯源等），支持多轮工具选择与参数抽取，LLM负责编排与表达、算数全部在本地完成。</w:t>
                      </w:r>
                    </w:p>
                    <w:p w14:paraId="4D05C921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数据工程与一致性：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用Pandas实现多SheetExcel容错解析与列名映射；设计幂等统一导入管线（局部构建+锁内原子替换，保障并发线程安全），支持网页上传与文件夹45秒自动热加载；基于SQLite实现销售按月整月替换累积、库存按月首个工作日快照的分层留存，支撑跨月环比与趋势分析。</w:t>
                      </w:r>
                    </w:p>
                    <w:p w14:paraId="0B04CD30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项目效果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：在133031条流水上，净销42.29万件/1810.15万元及渠道、平台拆分与人工透视结果零偏差；固定问法零成本秒回，各平台净销、临期清单等复杂问法由Agent自动多步取数并组织回答；51项测试全部通过，服务可稳定复跑。</w:t>
                      </w:r>
                    </w:p>
                    <w:tbl>
                      <w:tblPr>
                        <w:tblStyle w:val="4"/>
                        <w:tblW w:w="10846" w:type="dxa"/>
                        <w:tblInd w:w="0" w:type="dxa"/>
                        <w:tblBorders>
                          <w:top w:val="none" w:color="FFFFFF" w:sz="0" w:space="0"/>
                          <w:left w:val="none" w:color="FFFFFF" w:sz="0" w:space="0"/>
                          <w:bottom w:val="none" w:color="FFFFFF" w:sz="0" w:space="0"/>
                          <w:right w:val="none" w:color="FFFFFF" w:sz="0" w:space="0"/>
                          <w:insideH w:val="none" w:color="FFFFFF" w:sz="0" w:space="0"/>
                          <w:insideV w:val="none" w:color="FFFFFF" w:sz="0" w:space="0"/>
                        </w:tblBorders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</w:tblPr>
                      <w:tblGrid>
                        <w:gridCol w:w="1036"/>
                        <w:gridCol w:w="9810"/>
                      </w:tblGrid>
                      <w:tr w14:paraId="79EADD6B">
                        <w:tblPrEx>
                          <w:tblBorders>
                            <w:top w:val="none" w:color="FFFFFF" w:sz="0" w:space="0"/>
                            <w:left w:val="none" w:color="FFFFFF" w:sz="0" w:space="0"/>
                            <w:bottom w:val="none" w:color="FFFFFF" w:sz="0" w:space="0"/>
                            <w:right w:val="none" w:color="FFFFFF" w:sz="0" w:space="0"/>
                            <w:insideH w:val="none" w:color="FFFFFF" w:sz="0" w:space="0"/>
                            <w:insideV w:val="none" w:color="FFFFFF" w:sz="0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cantSplit/>
                          <w:trHeight w:val="234" w:hRule="atLeast"/>
                        </w:trPr>
                        <w:tc>
                          <w:tcPr>
                            <w:tcW w:w="10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0" w:type="dxa"/>
                              <w:left w:w="45" w:type="dxa"/>
                              <w:bottom w:w="25" w:type="dxa"/>
                              <w:right w:w="20" w:type="dxa"/>
                            </w:tcMar>
                            <w:vAlign w:val="center"/>
                          </w:tcPr>
                          <w:p w14:paraId="1ACCCE41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114300" distR="114300">
                                  <wp:extent cx="568960" cy="178435"/>
                                  <wp:effectExtent l="0" t="0" r="0" b="3810"/>
                                  <wp:docPr id="21" name="图片 21" descr="exec-4144d53e-20e6-402a-8465-8c26414f877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21" descr="exec-4144d53e-20e6-402a-8465-8c26414f877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 t="24627" b="1679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8960" cy="1784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5" w:type="dxa"/>
                              <w:left w:w="60" w:type="dxa"/>
                              <w:bottom w:w="35" w:type="dxa"/>
                              <w:right w:w="0" w:type="dxa"/>
                            </w:tcMar>
                            <w:vAlign w:val="center"/>
                          </w:tcPr>
                          <w:p w14:paraId="51ADE9EE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MaoGo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电商渠道价格监控产品「价格雷达 Agent」｜独立负责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2026.6-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2026.7</w:t>
                            </w:r>
                          </w:p>
                        </w:tc>
                      </w:tr>
                    </w:tbl>
                    <w:p w14:paraId="7DC4BADB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需求定义与全流程负责：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针对渠道价盘盯盘痛点——淘宝/京东/抖音3平台97个SKU需持续核对到手价与KA价、破价即价盘击穿，独立完成需求定义、方案设计、技术落地到迭代的产品全流程，已稳定运行。</w:t>
                      </w:r>
                    </w:p>
                    <w:p w14:paraId="50F1692A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"零代码"产品形态设计：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以飞书多维表格三表作为产品界面（商品底表=输入、价格明细=输出台账、运行日志=监控），业务同学在表格内维护商品即可，Agent每小时自动巡检、破价分钟级群预警并回填最近价，全程无需接触代码。</w:t>
                      </w:r>
                    </w:p>
                    <w:p w14:paraId="57BB2469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闭环效果：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替代逐平台人工盯盘约2小时/天，破价响应由小时级缩短至分钟级；累计推送破价/异常预警300+次，价格台账团队共享、结果可追溯，沉淀为可持续维护的渠道价格资产。</w:t>
                      </w:r>
                    </w:p>
                    <w:tbl>
                      <w:tblPr>
                        <w:tblStyle w:val="4"/>
                        <w:tblW w:w="10846" w:type="dxa"/>
                        <w:tblInd w:w="0" w:type="dxa"/>
                        <w:tblBorders>
                          <w:top w:val="none" w:color="FFFFFF" w:sz="0" w:space="0"/>
                          <w:left w:val="none" w:color="FFFFFF" w:sz="0" w:space="0"/>
                          <w:bottom w:val="none" w:color="FFFFFF" w:sz="0" w:space="0"/>
                          <w:right w:val="none" w:color="FFFFFF" w:sz="0" w:space="0"/>
                          <w:insideH w:val="none" w:color="FFFFFF" w:sz="0" w:space="0"/>
                          <w:insideV w:val="none" w:color="FFFFFF" w:sz="0" w:space="0"/>
                        </w:tblBorders>
                        <w:tblLayout w:type="fixed"/>
                        <w:tblCellMar>
                          <w:top w:w="0" w:type="dxa"/>
                          <w:left w:w="10" w:type="dxa"/>
                          <w:bottom w:w="0" w:type="dxa"/>
                          <w:right w:w="10" w:type="dxa"/>
                        </w:tblCellMar>
                      </w:tblPr>
                      <w:tblGrid>
                        <w:gridCol w:w="1036"/>
                        <w:gridCol w:w="9810"/>
                      </w:tblGrid>
                      <w:tr w14:paraId="288602D6">
                        <w:tblPrEx>
                          <w:tblBorders>
                            <w:top w:val="none" w:color="FFFFFF" w:sz="0" w:space="0"/>
                            <w:left w:val="none" w:color="FFFFFF" w:sz="0" w:space="0"/>
                            <w:bottom w:val="none" w:color="FFFFFF" w:sz="0" w:space="0"/>
                            <w:right w:val="none" w:color="FFFFFF" w:sz="0" w:space="0"/>
                            <w:insideH w:val="none" w:color="FFFFFF" w:sz="0" w:space="0"/>
                            <w:insideV w:val="none" w:color="FFFFFF" w:sz="0" w:space="0"/>
                          </w:tblBorders>
                          <w:tblCellMar>
                            <w:top w:w="0" w:type="dxa"/>
                            <w:left w:w="10" w:type="dxa"/>
                            <w:bottom w:w="0" w:type="dxa"/>
                            <w:right w:w="10" w:type="dxa"/>
                          </w:tblCellMar>
                        </w:tblPrEx>
                        <w:trPr>
                          <w:cantSplit/>
                          <w:trHeight w:val="92" w:hRule="atLeast"/>
                        </w:trPr>
                        <w:tc>
                          <w:tcPr>
                            <w:tcW w:w="103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0" w:type="dxa"/>
                              <w:left w:w="45" w:type="dxa"/>
                              <w:bottom w:w="25" w:type="dxa"/>
                              <w:right w:w="20" w:type="dxa"/>
                            </w:tcMar>
                            <w:vAlign w:val="center"/>
                          </w:tcPr>
                          <w:p w14:paraId="435DECC7">
                            <w:pPr>
                              <w:spacing w:before="0" w:after="0"/>
                              <w:jc w:val="center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drawing>
                                <wp:inline distT="0" distB="0" distL="114300" distR="114300">
                                  <wp:extent cx="520065" cy="173355"/>
                                  <wp:effectExtent l="0" t="0" r="13335" b="9525"/>
                                  <wp:docPr id="14" name="图片 14" descr="exec-4f5be0b8-fb23-46ac-a9ba-e08aa524d2d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 descr="exec-4f5be0b8-fb23-46ac-a9ba-e08aa524d2d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20065" cy="1733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981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1F1F1"/>
                            <w:tcMar>
                              <w:top w:w="35" w:type="dxa"/>
                              <w:left w:w="60" w:type="dxa"/>
                              <w:bottom w:w="35" w:type="dxa"/>
                              <w:right w:w="0" w:type="dxa"/>
                            </w:tcMar>
                            <w:vAlign w:val="center"/>
                          </w:tcPr>
                          <w:p w14:paraId="40E624A5">
                            <w:pPr>
                              <w:spacing w:before="0" w:after="0"/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“数有据”经营分析 Copilot｜独立负责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2026.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至今</w:t>
                            </w:r>
                          </w:p>
                        </w:tc>
                      </w:tr>
                    </w:tbl>
                    <w:p w14:paraId="3FAC5916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Agent工作流搭建：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基于LangGraph、FastAPI、PostgreSQL、React搭建经营分析Agent，将业务问题拆解为指标匹配、参数确认、SQL生成、查询校验、数据执行、图表配置和结论生成等步骤。</w:t>
                      </w:r>
                    </w:p>
                    <w:p w14:paraId="5C9A47BD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数据工具与分析能力开发：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开发结构化指标及查询工具，使Agent能够调用指标目录和数据库完成销售趋势、渠道表现、商品贡献及售后冲减分析，并将常用SQL和可视化配置沉淀为可复用模板。</w:t>
                      </w:r>
                    </w:p>
                    <w:p w14:paraId="4A19F6C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可信执行与结果追溯：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建立只读查询、字段白名单、执行预算、有限重试和结果校验机制，为关键数字关联指标版本、SQL及数据结果，面向1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3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.</w:t>
                      </w:r>
                      <w:r>
                        <w:rPr>
                          <w:rFonts w:hint="eastAsia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3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万条真实销售明细形成从提问、取数到图表和经营报告的自动化分析闭环。</w:t>
                      </w:r>
                    </w:p>
                    <w:p w14:paraId="6F163337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autoSpaceDE w:val="0"/>
                        <w:autoSpaceDN w:val="0"/>
                        <w:bidi w:val="0"/>
                        <w:adjustRightInd w:val="0"/>
                        <w:snapToGrid w:val="0"/>
                        <w:spacing w:line="240" w:lineRule="auto"/>
                        <w:jc w:val="left"/>
                        <w:textAlignment w:val="baseline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5270AF"/>
                          <w:spacing w:val="4"/>
                          <w:kern w:val="0"/>
                          <w:sz w:val="24"/>
                          <w:szCs w:val="24"/>
                          <w:lang w:val="en-US" w:eastAsia="zh-CN" w:bidi="ar-SA"/>
                        </w:rPr>
                        <w:t>专业技能</w:t>
                      </w:r>
                    </w:p>
                    <w:p w14:paraId="0AF92136">
                      <w:pPr>
                        <w:spacing w:before="48" w:line="20" w:lineRule="exact"/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drawing>
                          <wp:inline distT="0" distB="0" distL="0" distR="0">
                            <wp:extent cx="6667500" cy="12700"/>
                            <wp:effectExtent l="0" t="0" r="0" b="0"/>
                            <wp:docPr id="7" name="IM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M 6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7500" cy="1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 xml:space="preserve">                         </w:t>
                      </w:r>
                    </w:p>
                    <w:tbl>
                      <w:tblPr>
                        <w:tblStyle w:val="4"/>
                        <w:tblW w:w="10743" w:type="dxa"/>
                        <w:jc w:val="center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0743"/>
                      </w:tblGrid>
                      <w:tr w14:paraId="0FAC56A6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jc w:val="center"/>
                        </w:trPr>
                        <w:tc>
                          <w:tcPr>
                            <w:tcW w:w="10743" w:type="dxa"/>
                            <w:tcMar>
                              <w:top w:w="45" w:type="dxa"/>
                              <w:left w:w="70" w:type="dxa"/>
                              <w:bottom w:w="45" w:type="dxa"/>
                              <w:right w:w="70" w:type="dxa"/>
                            </w:tcMar>
                            <w:vAlign w:val="top"/>
                          </w:tcPr>
                          <w:p w14:paraId="602DF26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产品设计：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熟练使用Figma进行原型设计与交互演示，了解Axure/墨刀；具备PRD/MRD文档撰写、需求拆解能力。</w:t>
                            </w:r>
                          </w:p>
                          <w:p w14:paraId="584A65F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用户研究：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掌握问卷设计、深度访谈、可用性测试、竞品分析等用户研究方法，具备SPSS统计分析经验。</w:t>
                            </w:r>
                          </w:p>
                          <w:p w14:paraId="27C1C85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数据分析：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熟练使用SQL（多表关联/窗口函数）、Python（Pandas/NumPy）进行数据提取与分析，掌握Excel（数据透视表/函数）、FineBI/PowerBI看板搭建，可独立完成指标体系搭建、漏斗分析、A/B测试设计与结果复盘。</w:t>
                            </w:r>
                          </w:p>
                          <w:p w14:paraId="56A3E2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AI工具应用：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熟练使用Claude/Codex等工具辅助需求分析、文档撰写与原型开发，熟悉RAG/Agent工作流，具备将业务流程AI化的实践经验</w:t>
                            </w:r>
                          </w:p>
                          <w:p w14:paraId="1D5B6A1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3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420" w:leftChars="0" w:hanging="420" w:firstLineChars="0"/>
                              <w:jc w:val="left"/>
                              <w:textAlignment w:val="auto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语言与证书：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  <w:t>CET-6（568）、CET-4（588）；CDALevel1、数据分析师认证</w:t>
                            </w:r>
                          </w:p>
                          <w:p w14:paraId="372547A2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autoSpaceDE w:val="0"/>
                              <w:autoSpaceDN w:val="0"/>
                              <w:bidi w:val="0"/>
                              <w:adjustRightInd w:val="0"/>
                              <w:snapToGrid w:val="0"/>
                              <w:spacing w:line="240" w:lineRule="auto"/>
                              <w:jc w:val="left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b w:val="0"/>
                                <w:bCs w:val="0"/>
                                <w:snapToGrid w:val="0"/>
                                <w:color w:val="000000"/>
                                <w:spacing w:val="4"/>
                                <w:kern w:val="0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b/>
                                <w:bCs/>
                                <w:snapToGrid w:val="0"/>
                                <w:color w:val="5270AF"/>
                                <w:spacing w:val="4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</w:rPr>
                              <w:t>校园经历</w:t>
                            </w:r>
                          </w:p>
                        </w:tc>
                      </w:tr>
                    </w:tbl>
                    <w:p w14:paraId="23C41CD7">
                      <w:pPr>
                        <w:spacing w:before="48" w:line="20" w:lineRule="exact"/>
                        <w:rPr>
                          <w:rFonts w:hint="default" w:ascii="Times New Roman" w:hAnsi="Times New Roman" w:eastAsia="楷体" w:cs="Times New Roman"/>
                          <w:color w:val="333333"/>
                          <w:spacing w:val="-2"/>
                          <w:sz w:val="17"/>
                          <w:szCs w:val="17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pacing w:val="4"/>
                          <w:lang w:val="en-US" w:eastAsia="zh-CN"/>
                        </w:rPr>
                        <w:t xml:space="preserve">                     </w:t>
                      </w:r>
                      <w:r>
                        <w:rPr>
                          <w:rFonts w:hint="default" w:ascii="Times New Roman" w:hAnsi="Times New Roman" w:eastAsia="楷体" w:cs="Times New Roman"/>
                        </w:rPr>
                        <w:drawing>
                          <wp:inline distT="0" distB="0" distL="0" distR="0">
                            <wp:extent cx="6667500" cy="12700"/>
                            <wp:effectExtent l="0" t="0" r="0" b="0"/>
                            <wp:docPr id="6" name="IM 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 6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67500" cy="1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pacing w:val="4"/>
                          <w:sz w:val="17"/>
                          <w:szCs w:val="17"/>
                          <w:highlight w:val="lightGray"/>
                          <w:lang w:val="en-US" w:eastAsia="zh-CN"/>
                        </w:rPr>
                        <w:t xml:space="preserve">3 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pacing w:val="4"/>
                          <w:sz w:val="17"/>
                          <w:szCs w:val="17"/>
                          <w:highlight w:val="non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pacing w:val="4"/>
                          <w:sz w:val="17"/>
                          <w:szCs w:val="17"/>
                          <w:lang w:val="en-US" w:eastAsia="zh-CN"/>
                        </w:rPr>
                        <w:t xml:space="preserve">  </w:t>
                      </w:r>
                    </w:p>
                    <w:p w14:paraId="5A5DFCF0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经贸202班级班长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：组织班会、主题活动50+场，积累信息同步、资源协调与多线程事务推进能力。</w:t>
                      </w:r>
                    </w:p>
                    <w:p w14:paraId="4BB94E6D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学院团委办公室骨干：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负责日常办公与档案管理，参与组织院级活动20+场、覆盖2000+人次，提升跨部门协同与执行力。</w:t>
                      </w:r>
                    </w:p>
                    <w:p w14:paraId="42495C54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3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420" w:leftChars="0" w:hanging="420" w:firstLineChars="0"/>
                        <w:jc w:val="left"/>
                        <w:textAlignment w:val="auto"/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color w:val="000000" w:themeColor="text1"/>
                          <w:sz w:val="20"/>
                          <w:szCs w:val="20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b/>
                          <w:bCs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经贸222助理班主任：</w:t>
                      </w:r>
                      <w:r>
                        <w:rPr>
                          <w:rFonts w:hint="default" w:ascii="Times New Roman" w:hAnsi="Times New Roman" w:eastAsia="楷体" w:cs="Times New Roman"/>
                          <w:b w:val="0"/>
                          <w:bCs w:val="0"/>
                          <w:snapToGrid w:val="0"/>
                          <w:color w:val="000000"/>
                          <w:spacing w:val="4"/>
                          <w:kern w:val="0"/>
                          <w:sz w:val="18"/>
                          <w:szCs w:val="18"/>
                          <w:lang w:val="en-US" w:eastAsia="zh-CN" w:bidi="ar-SA"/>
                        </w:rPr>
                        <w:t>协助管理63名新生，组织主题活动10+场，建立学情跟踪机制，具备沟通协同与执行落地能力。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-789305</wp:posOffset>
                </wp:positionH>
                <wp:positionV relativeFrom="paragraph">
                  <wp:posOffset>-670560</wp:posOffset>
                </wp:positionV>
                <wp:extent cx="6304280" cy="782955"/>
                <wp:effectExtent l="0" t="0" r="0" b="0"/>
                <wp:wrapSquare wrapText="bothSides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280" cy="782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A55A2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85" w:line="240" w:lineRule="exact"/>
                              <w:ind w:right="2969"/>
                              <w:jc w:val="center"/>
                              <w:textAlignment w:val="baseline"/>
                              <w:rPr>
                                <w:rFonts w:hint="default"/>
                                <w:b/>
                                <w:bCs/>
                                <w:color w:val="5270AF"/>
                                <w:spacing w:val="1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pacing w:val="1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     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5270AF"/>
                                <w:spacing w:val="1"/>
                                <w:sz w:val="28"/>
                                <w:szCs w:val="28"/>
                                <w:lang w:val="en-US" w:eastAsia="zh-CN"/>
                              </w:rPr>
                              <w:t xml:space="preserve"> 刘家俊</w:t>
                            </w:r>
                          </w:p>
                          <w:p w14:paraId="3F54538D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85" w:line="240" w:lineRule="exact"/>
                              <w:ind w:right="2969"/>
                              <w:jc w:val="center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18296937023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z w:val="21"/>
                                <w:szCs w:val="21"/>
                              </w:rPr>
                              <w:t>丨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z w:val="21"/>
                                <w:szCs w:val="21"/>
                                <w:lang w:val="en-US" w:eastAsia="zh-CN"/>
                              </w:rPr>
                              <w:t>24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</w:rPr>
                              <w:t>岁丨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中共党员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</w:rPr>
                              <w:t>丨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硕士</w:t>
                            </w:r>
                          </w:p>
                          <w:p w14:paraId="54EA5400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86" w:line="240" w:lineRule="exact"/>
                              <w:jc w:val="center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邮箱：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instrText xml:space="preserve"> HYPERLINK "mailto:a1821374592@126.com" </w:instrTex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7"/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a1821374592@126.com</w:t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</w:rPr>
                              <w:t>丨</w:t>
                            </w:r>
                            <w:r>
                              <w:rPr>
                                <w:rFonts w:hint="eastAsia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求职方向：产品、运营</w:t>
                            </w:r>
                          </w:p>
                          <w:p w14:paraId="2870AA59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86" w:line="240" w:lineRule="exact"/>
                              <w:jc w:val="center"/>
                              <w:textAlignment w:val="baseline"/>
                              <w:rPr>
                                <w:rFonts w:hint="default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楷体" w:cs="Times New Roman"/>
                                <w:spacing w:val="-10"/>
                                <w:sz w:val="21"/>
                                <w:szCs w:val="21"/>
                                <w:lang w:val="en-US" w:eastAsia="zh-CN"/>
                              </w:rPr>
                              <w:t>求职方向</w:t>
                            </w:r>
                          </w:p>
                          <w:p w14:paraId="5AE1D662">
                            <w:pPr>
                              <w:pStyle w:val="3"/>
                              <w:keepNext w:val="0"/>
                              <w:keepLines w:val="0"/>
                              <w:pageBreakBefore w:val="0"/>
                              <w:widowControl/>
                              <w:kinsoku w:val="0"/>
                              <w:wordWrap/>
                              <w:overflowPunct/>
                              <w:topLinePunct w:val="0"/>
                              <w:bidi w:val="0"/>
                              <w:adjustRightInd w:val="0"/>
                              <w:snapToGrid w:val="0"/>
                              <w:spacing w:before="86" w:line="240" w:lineRule="exact"/>
                              <w:jc w:val="center"/>
                              <w:textAlignment w:val="baseline"/>
                              <w:rPr>
                                <w:rFonts w:hint="default" w:eastAsia="微软雅黑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关键词：用户研究｜需求分析｜产品策划｜数据分析｜项目推进</w:t>
                            </w:r>
                          </w:p>
                          <w:p w14:paraId="59C79B6D">
                            <w:pPr>
                              <w:pStyle w:val="3"/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227" w:line="183" w:lineRule="auto"/>
                              <w:ind w:left="4"/>
                              <w:jc w:val="left"/>
                              <w:textAlignment w:val="baseline"/>
                              <w:rPr>
                                <w:rFonts w:hint="default"/>
                                <w:b w:val="0"/>
                                <w:bCs w:val="0"/>
                                <w:color w:val="000000" w:themeColor="text1"/>
                                <w:sz w:val="20"/>
                                <w:szCs w:val="20"/>
                                <w:lang w:val="en-US"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15pt;margin-top:-52.8pt;height:61.65pt;width:496.4pt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zqxCd0AAAAMAQAADwAAAAAAAAABACAAAAAiAAAA&#10;ZHJzL2Rvd25yZXYueG1sUEsBAhQAFAAAAAgAh07iQKfiDpI7AgAAZg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CA55A2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85" w:line="240" w:lineRule="exact"/>
                        <w:ind w:right="2969"/>
                        <w:jc w:val="center"/>
                        <w:textAlignment w:val="baseline"/>
                        <w:rPr>
                          <w:rFonts w:hint="default"/>
                          <w:b/>
                          <w:bCs/>
                          <w:color w:val="5270AF"/>
                          <w:spacing w:val="1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pacing w:val="1"/>
                          <w:sz w:val="28"/>
                          <w:szCs w:val="28"/>
                          <w:lang w:val="en-US" w:eastAsia="zh-CN"/>
                        </w:rPr>
                        <w:t xml:space="preserve">                      </w:t>
                      </w:r>
                      <w:r>
                        <w:rPr>
                          <w:rFonts w:hint="eastAsia"/>
                          <w:b/>
                          <w:bCs/>
                          <w:color w:val="5270AF"/>
                          <w:spacing w:val="1"/>
                          <w:sz w:val="28"/>
                          <w:szCs w:val="28"/>
                          <w:lang w:val="en-US" w:eastAsia="zh-CN"/>
                        </w:rPr>
                        <w:t xml:space="preserve"> 刘家俊</w:t>
                      </w:r>
                    </w:p>
                    <w:p w14:paraId="3F54538D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85" w:line="240" w:lineRule="exact"/>
                        <w:ind w:right="2969"/>
                        <w:jc w:val="center"/>
                        <w:textAlignment w:val="baseline"/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     </w:t>
                      </w: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default" w:ascii="Times New Roman" w:hAnsi="Times New Roman" w:eastAsia="楷体" w:cs="Times New Roman"/>
                          <w:sz w:val="21"/>
                          <w:szCs w:val="21"/>
                          <w:lang w:val="en-US" w:eastAsia="zh-CN"/>
                        </w:rPr>
                        <w:t xml:space="preserve">  18296937023</w:t>
                      </w:r>
                      <w:r>
                        <w:rPr>
                          <w:rFonts w:hint="default" w:ascii="Times New Roman" w:hAnsi="Times New Roman" w:eastAsia="楷体" w:cs="Times New Roman"/>
                          <w:sz w:val="21"/>
                          <w:szCs w:val="21"/>
                        </w:rPr>
                        <w:t>丨</w:t>
                      </w:r>
                      <w:r>
                        <w:rPr>
                          <w:rFonts w:hint="default" w:ascii="Times New Roman" w:hAnsi="Times New Roman" w:eastAsia="楷体" w:cs="Times New Roman"/>
                          <w:sz w:val="21"/>
                          <w:szCs w:val="21"/>
                          <w:lang w:val="en-US" w:eastAsia="zh-CN"/>
                        </w:rPr>
                        <w:t>24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</w:rPr>
                        <w:t>岁丨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中共党员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</w:rPr>
                        <w:t>丨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硕士</w:t>
                      </w:r>
                    </w:p>
                    <w:p w14:paraId="54EA5400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86" w:line="240" w:lineRule="exact"/>
                        <w:jc w:val="center"/>
                        <w:textAlignment w:val="baseline"/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邮箱：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instrText xml:space="preserve"> HYPERLINK "mailto:a1821374592@126.com" </w:instrTex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7"/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a1821374592@126.com</w:t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</w:rPr>
                        <w:t>丨</w:t>
                      </w:r>
                      <w:r>
                        <w:rPr>
                          <w:rFonts w:hint="eastAsia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求职方向：产品、运营</w:t>
                      </w:r>
                    </w:p>
                    <w:p w14:paraId="2870AA59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86" w:line="240" w:lineRule="exact"/>
                        <w:jc w:val="center"/>
                        <w:textAlignment w:val="baseline"/>
                        <w:rPr>
                          <w:rFonts w:hint="default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楷体" w:cs="Times New Roman"/>
                          <w:spacing w:val="-10"/>
                          <w:sz w:val="21"/>
                          <w:szCs w:val="21"/>
                          <w:lang w:val="en-US" w:eastAsia="zh-CN"/>
                        </w:rPr>
                        <w:t>求职方向</w:t>
                      </w:r>
                    </w:p>
                    <w:p w14:paraId="5AE1D662">
                      <w:pPr>
                        <w:pStyle w:val="3"/>
                        <w:keepNext w:val="0"/>
                        <w:keepLines w:val="0"/>
                        <w:pageBreakBefore w:val="0"/>
                        <w:widowControl/>
                        <w:kinsoku w:val="0"/>
                        <w:wordWrap/>
                        <w:overflowPunct/>
                        <w:topLinePunct w:val="0"/>
                        <w:bidi w:val="0"/>
                        <w:adjustRightInd w:val="0"/>
                        <w:snapToGrid w:val="0"/>
                        <w:spacing w:before="86" w:line="240" w:lineRule="exact"/>
                        <w:jc w:val="center"/>
                        <w:textAlignment w:val="baseline"/>
                        <w:rPr>
                          <w:rFonts w:hint="default" w:eastAsia="微软雅黑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关键词：用户研究｜需求分析｜产品策划｜数据分析｜项目推进</w:t>
                      </w:r>
                    </w:p>
                    <w:p w14:paraId="59C79B6D">
                      <w:pPr>
                        <w:pStyle w:val="3"/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227" w:line="183" w:lineRule="auto"/>
                        <w:ind w:left="4"/>
                        <w:jc w:val="left"/>
                        <w:textAlignment w:val="baseline"/>
                        <w:rPr>
                          <w:rFonts w:hint="default"/>
                          <w:b w:val="0"/>
                          <w:bCs w:val="0"/>
                          <w:color w:val="000000" w:themeColor="text1"/>
                          <w:sz w:val="20"/>
                          <w:szCs w:val="20"/>
                          <w:lang w:val="en-US"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30193"/>
    <w:multiLevelType w:val="singleLevel"/>
    <w:tmpl w:val="CF030193"/>
    <w:lvl w:ilvl="0" w:tentative="0">
      <w:start w:val="1"/>
      <w:numFmt w:val="bullet"/>
      <w:pStyle w:val="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">
    <w:nsid w:val="0EFF594E"/>
    <w:multiLevelType w:val="singleLevel"/>
    <w:tmpl w:val="0EFF594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58E6984C"/>
    <w:multiLevelType w:val="singleLevel"/>
    <w:tmpl w:val="58E6984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SOReumeCategoryDocument" w:val="1"/>
  </w:docVars>
  <w:rsids>
    <w:rsidRoot w:val="3E775D1F"/>
    <w:rsid w:val="0026374D"/>
    <w:rsid w:val="0059429E"/>
    <w:rsid w:val="00647896"/>
    <w:rsid w:val="01CE24C1"/>
    <w:rsid w:val="06CA5532"/>
    <w:rsid w:val="083C18E8"/>
    <w:rsid w:val="08A542AC"/>
    <w:rsid w:val="091C0974"/>
    <w:rsid w:val="09A619B4"/>
    <w:rsid w:val="0A3A30C9"/>
    <w:rsid w:val="0A564154"/>
    <w:rsid w:val="0A63101A"/>
    <w:rsid w:val="0A6A7A32"/>
    <w:rsid w:val="0A8F70F9"/>
    <w:rsid w:val="0FB572AD"/>
    <w:rsid w:val="115A0D82"/>
    <w:rsid w:val="127F3D91"/>
    <w:rsid w:val="132C5202"/>
    <w:rsid w:val="15383FD0"/>
    <w:rsid w:val="15E20DFF"/>
    <w:rsid w:val="16287169"/>
    <w:rsid w:val="16501227"/>
    <w:rsid w:val="17FE4F03"/>
    <w:rsid w:val="182B106E"/>
    <w:rsid w:val="1A41304F"/>
    <w:rsid w:val="1C78243F"/>
    <w:rsid w:val="1FD73B1A"/>
    <w:rsid w:val="208B52DC"/>
    <w:rsid w:val="20EA1516"/>
    <w:rsid w:val="21D13E07"/>
    <w:rsid w:val="22260CF0"/>
    <w:rsid w:val="23016366"/>
    <w:rsid w:val="23BD4165"/>
    <w:rsid w:val="23F045E6"/>
    <w:rsid w:val="2494329D"/>
    <w:rsid w:val="29114E16"/>
    <w:rsid w:val="29384C1B"/>
    <w:rsid w:val="2BE73A92"/>
    <w:rsid w:val="2D500BCC"/>
    <w:rsid w:val="2E6C0887"/>
    <w:rsid w:val="2EEC3900"/>
    <w:rsid w:val="301A55DE"/>
    <w:rsid w:val="30C35A04"/>
    <w:rsid w:val="324E12A6"/>
    <w:rsid w:val="32B91642"/>
    <w:rsid w:val="37262F6C"/>
    <w:rsid w:val="38906085"/>
    <w:rsid w:val="3A1146C5"/>
    <w:rsid w:val="3ADA1820"/>
    <w:rsid w:val="3B9D352A"/>
    <w:rsid w:val="3B9F7F1D"/>
    <w:rsid w:val="3D6F16A4"/>
    <w:rsid w:val="3F2A72DB"/>
    <w:rsid w:val="3FC405DA"/>
    <w:rsid w:val="40FB3C78"/>
    <w:rsid w:val="42E63D16"/>
    <w:rsid w:val="442F3894"/>
    <w:rsid w:val="44C36C89"/>
    <w:rsid w:val="44D726BC"/>
    <w:rsid w:val="44DD3A68"/>
    <w:rsid w:val="49167D5D"/>
    <w:rsid w:val="49DF5457"/>
    <w:rsid w:val="4A9E5666"/>
    <w:rsid w:val="4AA44F3C"/>
    <w:rsid w:val="4C1C3408"/>
    <w:rsid w:val="4C813CE1"/>
    <w:rsid w:val="4F08327D"/>
    <w:rsid w:val="503976B7"/>
    <w:rsid w:val="50881A4D"/>
    <w:rsid w:val="519A23D8"/>
    <w:rsid w:val="5422686A"/>
    <w:rsid w:val="56984526"/>
    <w:rsid w:val="5A8F24B8"/>
    <w:rsid w:val="5DF7059C"/>
    <w:rsid w:val="5EF430D7"/>
    <w:rsid w:val="5FB609F2"/>
    <w:rsid w:val="5FBD2B20"/>
    <w:rsid w:val="60CC6501"/>
    <w:rsid w:val="62A3490E"/>
    <w:rsid w:val="63D35544"/>
    <w:rsid w:val="64373C6C"/>
    <w:rsid w:val="6711301F"/>
    <w:rsid w:val="672F3FBD"/>
    <w:rsid w:val="6A897BA8"/>
    <w:rsid w:val="6BFB0FCD"/>
    <w:rsid w:val="6FE553F4"/>
    <w:rsid w:val="721E4898"/>
    <w:rsid w:val="72EA4059"/>
    <w:rsid w:val="73274D5F"/>
    <w:rsid w:val="741369A5"/>
    <w:rsid w:val="74B8424E"/>
    <w:rsid w:val="753917D2"/>
    <w:rsid w:val="788B4D90"/>
    <w:rsid w:val="78CF343B"/>
    <w:rsid w:val="79A62A33"/>
    <w:rsid w:val="7A905722"/>
    <w:rsid w:val="7AB26ABC"/>
    <w:rsid w:val="7C204143"/>
    <w:rsid w:val="7F4A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styleId="8">
    <w:name w:val="HTML Code"/>
    <w:basedOn w:val="5"/>
    <w:qFormat/>
    <w:uiPriority w:val="0"/>
    <w:rPr>
      <w:rFonts w:ascii="Courier New" w:hAnsi="Courier New"/>
      <w:sz w:val="20"/>
    </w:rPr>
  </w:style>
  <w:style w:type="paragraph" w:customStyle="1" w:styleId="9">
    <w:name w:val="Table Text"/>
    <w:basedOn w:val="1"/>
    <w:semiHidden/>
    <w:qFormat/>
    <w:uiPriority w:val="0"/>
    <w:rPr>
      <w:rFonts w:ascii="微软雅黑" w:hAnsi="微软雅黑" w:eastAsia="微软雅黑" w:cs="微软雅黑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2025-10-21T15:28:00Z</dcterms:created>
  <dc:creator>辣椒酱</dc:creator>
  <cp:lastModifiedBy>辣椒酱</cp:lastModifiedBy>
  <dcterms:modified xsi:type="dcterms:W3CDTF">2026-09-17T09:20:07Z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78A089E9414943FA8DBC2DD939655E8B_11</vt:lpwstr>
  </property>
  <property fmtid="{D5CDD505-2E9C-101B-9397-08002B2CF9AE}" pid="4" name="KSOTemplateDocerSaveRecord">
    <vt:lpwstr>eyJoZGlkIjoiMWU0NDcyZjBlNTRjNGEzZjAzZjM0NWFkMDI4NDFmMjciLCJ1c2VySWQiOiIxOTczNzI1MTMifQ==</vt:lpwstr>
  </property>
</Properties>
</file>